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F10" w:rsidRPr="00B33FD5" w:rsidRDefault="00B33FD5" w:rsidP="00CD1F10">
      <w:pPr>
        <w:ind w:left="1080"/>
        <w:rPr>
          <w:rFonts w:ascii="Sylfaen" w:hAnsi="Sylfaen" w:cs="Arial"/>
          <w:b/>
          <w:bCs/>
          <w:i/>
          <w:iCs/>
          <w:sz w:val="24"/>
          <w:szCs w:val="24"/>
          <w:lang w:val="ka-GE"/>
        </w:rPr>
      </w:pP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sz w:val="24"/>
          <w:szCs w:val="24"/>
          <w:lang w:val="ka-GE"/>
        </w:rPr>
        <w:tab/>
      </w:r>
      <w:r w:rsidRPr="00B33FD5">
        <w:rPr>
          <w:rFonts w:ascii="Sylfaen" w:hAnsi="Sylfaen" w:cs="Arial"/>
          <w:b/>
          <w:bCs/>
          <w:i/>
          <w:iCs/>
          <w:sz w:val="24"/>
          <w:szCs w:val="24"/>
          <w:lang w:val="ka-GE"/>
        </w:rPr>
        <w:t>დანართი 1</w:t>
      </w:r>
    </w:p>
    <w:p w:rsidR="00B33FD5" w:rsidRPr="00B33FD5" w:rsidRDefault="00B33FD5" w:rsidP="00CD1F10">
      <w:pPr>
        <w:ind w:left="1080"/>
        <w:rPr>
          <w:rFonts w:ascii="Sylfaen" w:hAnsi="Sylfaen" w:cs="Arial"/>
          <w:b/>
          <w:bCs/>
          <w:i/>
          <w:iCs/>
          <w:sz w:val="24"/>
          <w:szCs w:val="24"/>
          <w:lang w:val="ka-GE"/>
        </w:rPr>
      </w:pPr>
    </w:p>
    <w:p w:rsidR="00B33FD5" w:rsidRPr="00B33FD5" w:rsidRDefault="00B33FD5" w:rsidP="00CD1F10">
      <w:pPr>
        <w:ind w:left="1080"/>
        <w:rPr>
          <w:rFonts w:ascii="Sylfaen" w:hAnsi="Sylfaen" w:cs="Arial"/>
          <w:b/>
          <w:bCs/>
          <w:i/>
          <w:iCs/>
          <w:sz w:val="24"/>
          <w:szCs w:val="24"/>
          <w:lang w:val="ka-GE"/>
        </w:rPr>
      </w:pPr>
    </w:p>
    <w:p w:rsidR="00CD1F10" w:rsidRPr="00B33FD5" w:rsidRDefault="00CD1F10" w:rsidP="00CD1F10">
      <w:pPr>
        <w:rPr>
          <w:rFonts w:ascii="Arial" w:hAnsi="Arial" w:cs="Arial"/>
          <w:b/>
          <w:bCs/>
          <w:sz w:val="24"/>
          <w:szCs w:val="24"/>
          <w:lang w:val="ka-GE"/>
        </w:rPr>
      </w:pPr>
    </w:p>
    <w:p w:rsidR="00CD1F10" w:rsidRPr="00B33FD5" w:rsidRDefault="00CD1F10" w:rsidP="00CD1F10">
      <w:pPr>
        <w:ind w:left="1080"/>
        <w:rPr>
          <w:rFonts w:ascii="Sylfaen" w:hAnsi="Sylfaen" w:cs="Arial"/>
          <w:b/>
          <w:bCs/>
          <w:color w:val="0070C0"/>
          <w:sz w:val="28"/>
          <w:szCs w:val="28"/>
          <w:lang w:val="ka-GE"/>
        </w:rPr>
      </w:pPr>
      <w:r w:rsidRPr="00B33FD5">
        <w:rPr>
          <w:rFonts w:ascii="Sylfaen" w:hAnsi="Sylfaen" w:cs="Arial"/>
          <w:b/>
          <w:bCs/>
          <w:color w:val="0070C0"/>
          <w:sz w:val="28"/>
          <w:szCs w:val="28"/>
          <w:lang w:val="ka-GE"/>
        </w:rPr>
        <w:t>პუბლიკაციები, სახელმძღვანელოები, კვლევები</w:t>
      </w:r>
    </w:p>
    <w:p w:rsidR="00C9300D" w:rsidRPr="00B33FD5" w:rsidRDefault="00C9300D" w:rsidP="00CD1F10">
      <w:pPr>
        <w:ind w:left="1080"/>
        <w:rPr>
          <w:rFonts w:ascii="Arial" w:hAnsi="Arial" w:cs="Arial"/>
          <w:b/>
          <w:bCs/>
          <w:color w:val="0070C0"/>
          <w:sz w:val="28"/>
          <w:szCs w:val="28"/>
          <w:lang w:val="ka-GE"/>
        </w:rPr>
      </w:pPr>
    </w:p>
    <w:p w:rsidR="00C9300D" w:rsidRPr="00B33FD5" w:rsidRDefault="00C9300D" w:rsidP="00CD1F10">
      <w:pPr>
        <w:ind w:left="1080"/>
        <w:rPr>
          <w:rFonts w:ascii="Sylfaen" w:hAnsi="Sylfaen" w:cs="Arial"/>
          <w:b/>
          <w:bCs/>
          <w:color w:val="0070C0"/>
          <w:sz w:val="24"/>
          <w:szCs w:val="24"/>
          <w:lang w:val="ka-GE"/>
        </w:rPr>
      </w:pPr>
    </w:p>
    <w:p w:rsidR="00C9300D" w:rsidRDefault="00C9300D" w:rsidP="00CD1F10">
      <w:pPr>
        <w:ind w:left="1080"/>
        <w:rPr>
          <w:rFonts w:ascii="Sylfaen" w:hAnsi="Sylfaen" w:cs="Arial"/>
          <w:b/>
          <w:bCs/>
          <w:color w:val="0070C0"/>
          <w:sz w:val="24"/>
          <w:szCs w:val="24"/>
          <w:lang w:val="ka-GE"/>
        </w:rPr>
      </w:pPr>
      <w:r w:rsidRPr="00B33FD5">
        <w:rPr>
          <w:rFonts w:ascii="Sylfaen" w:hAnsi="Sylfaen" w:cs="Arial"/>
          <w:b/>
          <w:bCs/>
          <w:color w:val="0070C0"/>
          <w:sz w:val="24"/>
          <w:szCs w:val="24"/>
          <w:lang w:val="ka-GE"/>
        </w:rPr>
        <w:t>სახელმძღვანელოები და პუბლიკაციები:</w:t>
      </w:r>
    </w:p>
    <w:p w:rsidR="00526F5A" w:rsidRPr="00B33FD5" w:rsidRDefault="00526F5A" w:rsidP="00526F5A">
      <w:pPr>
        <w:rPr>
          <w:rFonts w:ascii="Sylfaen" w:hAnsi="Sylfaen" w:cs="Arial"/>
          <w:b/>
          <w:bCs/>
          <w:color w:val="0070C0"/>
          <w:sz w:val="24"/>
          <w:szCs w:val="24"/>
          <w:lang w:val="ka-GE"/>
        </w:rPr>
      </w:pPr>
    </w:p>
    <w:p w:rsidR="00CD1F10" w:rsidRPr="00B33FD5" w:rsidRDefault="00CD1F10" w:rsidP="00CD1F10">
      <w:pPr>
        <w:ind w:left="1080"/>
        <w:rPr>
          <w:rFonts w:ascii="Arial" w:hAnsi="Arial" w:cs="Arial"/>
          <w:b/>
          <w:bCs/>
          <w:color w:val="0070C0"/>
          <w:sz w:val="24"/>
          <w:szCs w:val="24"/>
          <w:lang w:val="ka-GE"/>
        </w:rPr>
      </w:pPr>
    </w:p>
    <w:p w:rsidR="00CD1F10" w:rsidRPr="00B33FD5" w:rsidRDefault="00CD1F10" w:rsidP="00526F5A">
      <w:pPr>
        <w:rPr>
          <w:rFonts w:ascii="Sylfaen" w:hAnsi="Sylfaen" w:cs="Arial"/>
          <w:b/>
          <w:bCs/>
          <w:sz w:val="22"/>
          <w:szCs w:val="22"/>
          <w:lang w:val="ka-GE"/>
        </w:rPr>
      </w:pPr>
    </w:p>
    <w:tbl>
      <w:tblPr>
        <w:tblW w:w="827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772"/>
      </w:tblGrid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2023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ადამიანით ვაჭრობის (ტრეფიკინგის) სამართლებრივი ასპექტები</w:t>
            </w:r>
          </w:p>
          <w:p w:rsidR="00526F5A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(მეორე გამოცემა)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2021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ქალის უფლებათა დაცვის უნივერსალური და რეგიონული მექანიზმები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2020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სექსუალური შევიწროების სამართლებრივი ასპექტები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2016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ადამიანით ვაჭრობის (ტრეფიკინგის) წინააღმდეგ ბრძოლის მეთოდები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2007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ოჯახში ძალადობის წინააღმდეგ ბრძოლის სტრატეგია სამართალდამცავი ორგანოებისათვის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2005</w:t>
            </w:r>
          </w:p>
        </w:tc>
        <w:tc>
          <w:tcPr>
            <w:tcW w:w="6772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ქალთა ქონებრივი უფლებები 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:rsidR="00CD1F10" w:rsidRPr="00B33FD5" w:rsidRDefault="00CD1F10" w:rsidP="00526F5A">
      <w:pPr>
        <w:rPr>
          <w:rFonts w:ascii="Arial" w:hAnsi="Arial" w:cs="Arial"/>
          <w:b/>
          <w:bCs/>
          <w:sz w:val="22"/>
          <w:szCs w:val="22"/>
          <w:lang w:val="ka-GE"/>
        </w:rPr>
      </w:pPr>
    </w:p>
    <w:p w:rsidR="00CD1F10" w:rsidRPr="00B33FD5" w:rsidRDefault="00CD1F10" w:rsidP="00526F5A">
      <w:pPr>
        <w:ind w:left="1080"/>
        <w:rPr>
          <w:rFonts w:ascii="Arial" w:hAnsi="Arial" w:cs="Arial"/>
          <w:b/>
          <w:bCs/>
          <w:sz w:val="22"/>
          <w:szCs w:val="22"/>
          <w:lang w:val="ka-GE"/>
        </w:rPr>
      </w:pPr>
    </w:p>
    <w:p w:rsidR="00C9300D" w:rsidRPr="00B33FD5" w:rsidRDefault="00C9300D" w:rsidP="00526F5A">
      <w:pPr>
        <w:ind w:left="1080"/>
        <w:rPr>
          <w:rFonts w:ascii="Sylfaen" w:hAnsi="Sylfaen" w:cs="Arial"/>
          <w:b/>
          <w:bCs/>
          <w:color w:val="0070C0"/>
          <w:sz w:val="24"/>
          <w:szCs w:val="24"/>
          <w:lang w:val="ka-GE"/>
        </w:rPr>
      </w:pPr>
      <w:r w:rsidRPr="00B33FD5">
        <w:rPr>
          <w:rFonts w:ascii="Sylfaen" w:hAnsi="Sylfaen" w:cs="Arial"/>
          <w:b/>
          <w:bCs/>
          <w:color w:val="0070C0"/>
          <w:sz w:val="24"/>
          <w:szCs w:val="24"/>
          <w:lang w:val="ka-GE"/>
        </w:rPr>
        <w:t>კვლევები</w:t>
      </w:r>
    </w:p>
    <w:p w:rsidR="00C9300D" w:rsidRPr="00B33FD5" w:rsidRDefault="00C9300D" w:rsidP="00526F5A">
      <w:pPr>
        <w:ind w:left="1080"/>
        <w:rPr>
          <w:rFonts w:ascii="Sylfaen" w:hAnsi="Sylfaen" w:cs="Arial"/>
          <w:b/>
          <w:bCs/>
          <w:color w:val="0070C0"/>
          <w:sz w:val="22"/>
          <w:szCs w:val="22"/>
          <w:lang w:val="ka-GE"/>
        </w:rPr>
      </w:pPr>
    </w:p>
    <w:tbl>
      <w:tblPr>
        <w:tblW w:w="841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14"/>
      </w:tblGrid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2023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sz w:val="22"/>
                <w:szCs w:val="22"/>
              </w:rPr>
            </w:pP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ადამიანის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დისკრიმინაციისაგან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დაცვის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მიზნით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საქართველოს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მიერ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აღებულ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საერთაშორისო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ვალდებულებათა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შესრულების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შეფასება</w:t>
            </w:r>
            <w:proofErr w:type="spellEnd"/>
          </w:p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sz w:val="22"/>
                <w:szCs w:val="22"/>
              </w:rPr>
            </w:pPr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r w:rsidRPr="00B33FD5">
              <w:rPr>
                <w:rFonts w:ascii="Sylfaen" w:hAnsi="Sylfaen" w:cs="Menlo Regular"/>
                <w:sz w:val="22"/>
                <w:szCs w:val="22"/>
                <w:lang w:val="ka-GE"/>
              </w:rPr>
              <w:t>ევროპის საბჭოს</w:t>
            </w:r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მონიტორინგის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მექანიზმის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  <w:lang w:val="ka-GE"/>
              </w:rPr>
              <w:t xml:space="preserve"> </w:t>
            </w:r>
            <w:r w:rsidRPr="00B33FD5">
              <w:rPr>
                <w:rFonts w:ascii="Sylfaen" w:hAnsi="Sylfaen"/>
                <w:bCs/>
                <w:iCs/>
                <w:sz w:val="22"/>
                <w:szCs w:val="22"/>
                <w:lang w:val="ka-GE"/>
              </w:rPr>
              <w:t>ადამიანით ვაჭრობის წინააღმდეგ ბრძოლის მიზნით შექმნილი ექსპერტთა ჯგუფის (GRETA)  მიხედვით</w:t>
            </w:r>
          </w:p>
          <w:p w:rsidR="00526F5A" w:rsidRPr="00B33FD5" w:rsidRDefault="00526F5A" w:rsidP="00526F5A">
            <w:pPr>
              <w:jc w:val="both"/>
              <w:rPr>
                <w:rFonts w:ascii="Sylfaen" w:hAnsi="Sylfaen"/>
                <w:bCs/>
                <w:iCs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bCs/>
                <w:iCs/>
                <w:sz w:val="22"/>
                <w:szCs w:val="22"/>
              </w:rPr>
            </w:pP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ადამიანით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ვაჭრობის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ტრეფიკინგის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წინააღმდეგ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განსახორციელებელ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ღონისძიებათა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შესახებ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r w:rsidRPr="00B33FD5">
              <w:rPr>
                <w:rFonts w:ascii="Sylfaen" w:hAnsi="Sylfaen" w:cs="Menlo Regular"/>
                <w:bCs/>
                <w:iCs/>
                <w:noProof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ევროპის</w:t>
            </w:r>
            <w:proofErr w:type="spellEnd"/>
            <w:proofErr w:type="gram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საბჭოს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>კონვენცი</w:t>
            </w:r>
            <w:proofErr w:type="spellEnd"/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  <w:lang w:val="ka-GE"/>
              </w:rPr>
              <w:t>ის</w:t>
            </w:r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</w:rPr>
              <w:t xml:space="preserve"> </w:t>
            </w:r>
            <w:r w:rsidRPr="00B33FD5">
              <w:rPr>
                <w:rFonts w:ascii="Sylfaen" w:hAnsi="Sylfaen" w:cs="Helvetica"/>
                <w:bCs/>
                <w:iCs/>
                <w:sz w:val="22"/>
                <w:szCs w:val="22"/>
                <w:lang w:val="ka-GE"/>
              </w:rPr>
              <w:t>შ</w:t>
            </w:r>
            <w:r w:rsidRPr="00B33FD5">
              <w:rPr>
                <w:rFonts w:ascii="Sylfaen" w:hAnsi="Sylfaen" w:cs="Menlo Regular"/>
                <w:bCs/>
                <w:iCs/>
                <w:noProof/>
                <w:sz w:val="22"/>
                <w:szCs w:val="22"/>
                <w:lang w:val="ka-GE"/>
              </w:rPr>
              <w:t>ესაბამისად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2023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sz w:val="22"/>
                <w:szCs w:val="22"/>
              </w:rPr>
            </w:pP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ადამიანის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დისკრიმინაციისაგან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დაცვის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მიზნით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საქართველოს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მიერ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აღებულ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საერთაშორისო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ვალდებულებათა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შესრულების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შეფასება</w:t>
            </w:r>
            <w:proofErr w:type="spellEnd"/>
          </w:p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sz w:val="22"/>
                <w:szCs w:val="22"/>
              </w:rPr>
            </w:pPr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r w:rsidRPr="00B33FD5">
              <w:rPr>
                <w:rFonts w:ascii="Sylfaen" w:hAnsi="Sylfaen" w:cs="Menlo Regular"/>
                <w:sz w:val="22"/>
                <w:szCs w:val="22"/>
                <w:lang w:val="ka-GE"/>
              </w:rPr>
              <w:t>ევროპის საბჭოს</w:t>
            </w:r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მონიტორინგის</w:t>
            </w:r>
            <w:proofErr w:type="spellEnd"/>
            <w:r w:rsidRPr="00B33FD5">
              <w:rPr>
                <w:rFonts w:ascii="Sylfaen" w:hAnsi="Sylfaen" w:cs="Menlo Regular"/>
                <w:sz w:val="22"/>
                <w:szCs w:val="22"/>
              </w:rPr>
              <w:t xml:space="preserve"> </w:t>
            </w:r>
            <w:proofErr w:type="spellStart"/>
            <w:r w:rsidRPr="00B33FD5">
              <w:rPr>
                <w:rFonts w:ascii="Sylfaen" w:hAnsi="Sylfaen" w:cs="Menlo Regular"/>
                <w:sz w:val="22"/>
                <w:szCs w:val="22"/>
              </w:rPr>
              <w:t>მექანიზმის</w:t>
            </w:r>
            <w:proofErr w:type="spellEnd"/>
          </w:p>
          <w:p w:rsidR="00526F5A" w:rsidRPr="00B33FD5" w:rsidRDefault="00526F5A" w:rsidP="00526F5A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ქალთა მიმართ ძალადობის და ოჯახში ძალადობის წინააღმდეგ მიმართულ ქმედებებზე მომუშავე ექსპერტთა ჯგუფის (GREVIO) მიხედვით</w:t>
            </w:r>
          </w:p>
          <w:p w:rsidR="00526F5A" w:rsidRPr="00B33FD5" w:rsidRDefault="00526F5A" w:rsidP="00526F5A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jc w:val="both"/>
              <w:rPr>
                <w:rFonts w:ascii="Sylfaen" w:hAnsi="Sylfaen" w:cs="Menlo Regular"/>
                <w:sz w:val="22"/>
                <w:szCs w:val="22"/>
              </w:rPr>
            </w:pPr>
            <w:r w:rsidRPr="00B33FD5">
              <w:rPr>
                <w:rFonts w:ascii="Sylfaen" w:hAnsi="Sylfaen" w:cs="Menlo Regular"/>
                <w:noProof/>
                <w:sz w:val="22"/>
                <w:szCs w:val="22"/>
                <w:lang w:val="ka-GE"/>
              </w:rPr>
              <w:t>ქალთა მიმართ ძალადობის და ოჯახში ძალადობის პრევენციისა და აღკვეთის შესახებ ევროპის საბჭოს კონვენციის შესაბამისად</w:t>
            </w:r>
          </w:p>
          <w:p w:rsidR="00526F5A" w:rsidRPr="00B33FD5" w:rsidRDefault="00526F5A" w:rsidP="00526F5A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lastRenderedPageBreak/>
              <w:t>2022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 xml:space="preserve">ადამიანის დისკრიმინაციისგან დაცვის მიზნით საქართველოს მიერ აღებულ საერთაშორისო ვალდებულებათა შესრულების შეფასება 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გაეროს მონიტორინგის მექანიზმის - ქალთა დისკრიმინაციის ყველა ფორმის აღმოფხვრის შესახებ კონვენციის (CEDAW) მიხედვით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2017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არასრულწლოვნით ვაჭრობა, როგორც ტრანსნაციონალური დანაშაული 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2016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სტამბოლის კონვენციით ნაკისრ ვალდებულებათა შესრულების ანალიზი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2014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არასრულწლოვნის დაცვა ადამიანით ვაჭრობის დანაშაულისგან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:rsidR="00C9300D" w:rsidRPr="00B33FD5" w:rsidRDefault="00C9300D" w:rsidP="00526F5A">
      <w:pPr>
        <w:ind w:left="1080"/>
        <w:rPr>
          <w:rFonts w:ascii="Sylfaen" w:hAnsi="Sylfaen" w:cs="Arial"/>
          <w:b/>
          <w:bCs/>
          <w:color w:val="0070C0"/>
          <w:sz w:val="22"/>
          <w:szCs w:val="22"/>
          <w:lang w:val="ka-GE"/>
        </w:rPr>
      </w:pPr>
    </w:p>
    <w:p w:rsidR="00C9300D" w:rsidRPr="00B33FD5" w:rsidRDefault="00C9300D" w:rsidP="00526F5A">
      <w:pPr>
        <w:ind w:left="1080"/>
        <w:rPr>
          <w:rFonts w:ascii="Sylfaen" w:hAnsi="Sylfaen" w:cs="Arial"/>
          <w:b/>
          <w:bCs/>
          <w:color w:val="0070C0"/>
          <w:sz w:val="22"/>
          <w:szCs w:val="22"/>
          <w:lang w:val="ka-GE"/>
        </w:rPr>
      </w:pPr>
    </w:p>
    <w:p w:rsidR="00C9300D" w:rsidRPr="00B33FD5" w:rsidRDefault="00C9300D" w:rsidP="00526F5A">
      <w:pPr>
        <w:ind w:left="1080"/>
        <w:rPr>
          <w:rFonts w:ascii="Sylfaen" w:hAnsi="Sylfaen" w:cs="Arial"/>
          <w:b/>
          <w:bCs/>
          <w:color w:val="0070C0"/>
          <w:sz w:val="22"/>
          <w:szCs w:val="22"/>
          <w:lang w:val="ka-GE"/>
        </w:rPr>
      </w:pPr>
    </w:p>
    <w:p w:rsidR="00C9300D" w:rsidRPr="00B33FD5" w:rsidRDefault="00C9300D" w:rsidP="00526F5A">
      <w:pPr>
        <w:ind w:left="1080"/>
        <w:rPr>
          <w:rFonts w:ascii="Arial" w:hAnsi="Arial" w:cs="Arial"/>
          <w:b/>
          <w:bCs/>
          <w:sz w:val="24"/>
          <w:szCs w:val="24"/>
          <w:lang w:val="ka-GE"/>
        </w:rPr>
      </w:pPr>
      <w:r w:rsidRPr="00B33FD5">
        <w:rPr>
          <w:rFonts w:ascii="Sylfaen" w:hAnsi="Sylfaen" w:cs="Arial"/>
          <w:b/>
          <w:bCs/>
          <w:color w:val="0070C0"/>
          <w:sz w:val="24"/>
          <w:szCs w:val="24"/>
          <w:lang w:val="ka-GE"/>
        </w:rPr>
        <w:t>სტატიები</w:t>
      </w:r>
      <w:r w:rsidR="00B33FD5">
        <w:rPr>
          <w:rFonts w:ascii="Sylfaen" w:hAnsi="Sylfaen" w:cs="Arial"/>
          <w:b/>
          <w:bCs/>
          <w:color w:val="0070C0"/>
          <w:sz w:val="24"/>
          <w:szCs w:val="24"/>
          <w:lang w:val="ka-GE"/>
        </w:rPr>
        <w:t>:</w:t>
      </w:r>
    </w:p>
    <w:p w:rsidR="00C9300D" w:rsidRPr="00B33FD5" w:rsidRDefault="00C9300D" w:rsidP="00526F5A">
      <w:pPr>
        <w:ind w:left="1080"/>
        <w:rPr>
          <w:rFonts w:ascii="Arial" w:hAnsi="Arial" w:cs="Arial"/>
          <w:b/>
          <w:bCs/>
          <w:sz w:val="22"/>
          <w:szCs w:val="22"/>
          <w:lang w:val="ka-GE"/>
        </w:rPr>
      </w:pPr>
    </w:p>
    <w:p w:rsidR="00C9300D" w:rsidRPr="00B33FD5" w:rsidRDefault="00C9300D" w:rsidP="00526F5A">
      <w:pPr>
        <w:ind w:left="1080"/>
        <w:rPr>
          <w:rFonts w:ascii="Sylfaen" w:hAnsi="Sylfaen" w:cs="Arial"/>
          <w:b/>
          <w:bCs/>
          <w:sz w:val="22"/>
          <w:szCs w:val="22"/>
          <w:lang w:val="ka-GE"/>
        </w:rPr>
      </w:pPr>
    </w:p>
    <w:p w:rsidR="00C9300D" w:rsidRPr="00B33FD5" w:rsidRDefault="00C9300D" w:rsidP="00526F5A">
      <w:pPr>
        <w:rPr>
          <w:sz w:val="22"/>
          <w:szCs w:val="22"/>
        </w:rPr>
      </w:pPr>
      <w:r w:rsidRPr="00B33FD5">
        <w:rPr>
          <w:sz w:val="22"/>
          <w:szCs w:val="22"/>
        </w:rPr>
        <w:tab/>
      </w:r>
    </w:p>
    <w:tbl>
      <w:tblPr>
        <w:tblW w:w="841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14"/>
      </w:tblGrid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2022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sz w:val="22"/>
                <w:szCs w:val="22"/>
                <w:lang w:val="ka-GE"/>
              </w:rPr>
              <w:t>ქალის უფლებათა დაცვა შეიარაღებული კონფლიქტების და საომარი ვითარების დროს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2020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საერთაშორისოს სისხლის სამართლის ტრიბუნალები, იუგოსლავიისა და რუანდის ტრიბუნალების გამოცდილება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2019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ფემიციდი, სამართლებრივი გამოცდილება და გამოწვევები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2018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ძალადობის მსხვერპლთა კომპენსირების მექანიზმები სტამბოლის კონვენციის მიხედვით, ეროვნული კანონმდებლობის მოწესრიგების ხედვა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2018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რისკის შეფასების მოდელი, ესპანური გამოცდილება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lastRenderedPageBreak/>
              <w:t>2014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ადამიანით ვაჭრობის საერთაშორისო და ეროვნული რეგულაციების შედარებითი ანალიზი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526F5A" w:rsidRPr="00B33FD5" w:rsidTr="00526F5A">
        <w:tc>
          <w:tcPr>
            <w:tcW w:w="1499" w:type="dxa"/>
            <w:shd w:val="clear" w:color="auto" w:fill="auto"/>
          </w:tcPr>
          <w:p w:rsidR="00526F5A" w:rsidRPr="00B33FD5" w:rsidRDefault="00526F5A" w:rsidP="00526F5A">
            <w:pPr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2013</w:t>
            </w:r>
          </w:p>
        </w:tc>
        <w:tc>
          <w:tcPr>
            <w:tcW w:w="6914" w:type="dxa"/>
            <w:shd w:val="clear" w:color="auto" w:fill="auto"/>
          </w:tcPr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33FD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ოჯახში ძალადობის ეთიკური და სამართლებრივი პრობლემები</w:t>
            </w:r>
          </w:p>
          <w:p w:rsidR="00526F5A" w:rsidRPr="00B33FD5" w:rsidRDefault="00526F5A" w:rsidP="00526F5A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:rsidR="008A4DC5" w:rsidRPr="00B33FD5" w:rsidRDefault="008A4DC5" w:rsidP="00526F5A">
      <w:pPr>
        <w:rPr>
          <w:sz w:val="22"/>
          <w:szCs w:val="22"/>
        </w:rPr>
      </w:pPr>
    </w:p>
    <w:p w:rsidR="00B33FD5" w:rsidRPr="00B33FD5" w:rsidRDefault="00B33FD5" w:rsidP="00526F5A">
      <w:pPr>
        <w:ind w:firstLine="720"/>
        <w:rPr>
          <w:rFonts w:ascii="Sylfaen" w:hAnsi="Sylfaen"/>
          <w:b/>
          <w:bCs/>
          <w:color w:val="0070C0"/>
          <w:sz w:val="22"/>
          <w:szCs w:val="22"/>
          <w:lang w:val="ka-GE"/>
        </w:rPr>
      </w:pPr>
    </w:p>
    <w:p w:rsidR="00B33FD5" w:rsidRPr="00B33FD5" w:rsidRDefault="00B33FD5" w:rsidP="00526F5A">
      <w:pPr>
        <w:ind w:firstLine="720"/>
        <w:rPr>
          <w:rFonts w:ascii="Sylfaen" w:hAnsi="Sylfaen"/>
          <w:b/>
          <w:bCs/>
          <w:color w:val="0070C0"/>
          <w:sz w:val="22"/>
          <w:szCs w:val="22"/>
          <w:lang w:val="ka-GE"/>
        </w:rPr>
      </w:pPr>
    </w:p>
    <w:p w:rsidR="00B33FD5" w:rsidRPr="00B33FD5" w:rsidRDefault="00B33FD5" w:rsidP="00526F5A">
      <w:pPr>
        <w:ind w:firstLine="720"/>
        <w:rPr>
          <w:rFonts w:ascii="Sylfaen" w:hAnsi="Sylfaen"/>
          <w:b/>
          <w:bCs/>
          <w:color w:val="0070C0"/>
          <w:sz w:val="22"/>
          <w:szCs w:val="22"/>
          <w:lang w:val="ka-GE"/>
        </w:rPr>
      </w:pPr>
    </w:p>
    <w:p w:rsidR="00B33FD5" w:rsidRPr="00B33FD5" w:rsidRDefault="00B33FD5" w:rsidP="00526F5A">
      <w:pPr>
        <w:ind w:firstLine="720"/>
        <w:rPr>
          <w:rFonts w:ascii="Sylfaen" w:hAnsi="Sylfaen"/>
          <w:b/>
          <w:bCs/>
          <w:color w:val="0070C0"/>
          <w:sz w:val="22"/>
          <w:szCs w:val="22"/>
          <w:lang w:val="ka-GE"/>
        </w:rPr>
      </w:pPr>
    </w:p>
    <w:p w:rsidR="00CD1F10" w:rsidRPr="00B33FD5" w:rsidRDefault="00CD1F10" w:rsidP="00526F5A">
      <w:pPr>
        <w:rPr>
          <w:rFonts w:ascii="Sylfaen" w:hAnsi="Sylfaen"/>
          <w:sz w:val="24"/>
          <w:szCs w:val="24"/>
          <w:lang w:val="ka-GE"/>
        </w:rPr>
      </w:pPr>
    </w:p>
    <w:p w:rsidR="00CD1F10" w:rsidRPr="00B33FD5" w:rsidRDefault="00CD1F10" w:rsidP="00CD1F10">
      <w:pPr>
        <w:ind w:firstLine="720"/>
        <w:rPr>
          <w:rFonts w:ascii="Sylfaen" w:hAnsi="Sylfaen"/>
          <w:b/>
          <w:bCs/>
          <w:color w:val="0070C0"/>
          <w:sz w:val="24"/>
          <w:szCs w:val="24"/>
          <w:lang w:val="ka-GE"/>
        </w:rPr>
      </w:pPr>
    </w:p>
    <w:sectPr w:rsidR="00CD1F10" w:rsidRPr="00B3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34B0"/>
    <w:multiLevelType w:val="hybridMultilevel"/>
    <w:tmpl w:val="28D4ADA2"/>
    <w:lvl w:ilvl="0" w:tplc="831EA9BC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9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10"/>
    <w:rsid w:val="001A2E8B"/>
    <w:rsid w:val="004F4C82"/>
    <w:rsid w:val="00526F5A"/>
    <w:rsid w:val="00794FD6"/>
    <w:rsid w:val="008A4DC5"/>
    <w:rsid w:val="00A50A0C"/>
    <w:rsid w:val="00B0286D"/>
    <w:rsid w:val="00B33FD5"/>
    <w:rsid w:val="00BF7A1E"/>
    <w:rsid w:val="00C9300D"/>
    <w:rsid w:val="00CD1F10"/>
    <w:rsid w:val="00E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73D76"/>
  <w15:chartTrackingRefBased/>
  <w15:docId w15:val="{5AF46358-648D-DF4A-BACF-85CB930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D1F10"/>
    <w:rPr>
      <w:b/>
      <w:bCs/>
    </w:rPr>
  </w:style>
  <w:style w:type="table" w:styleId="TableGrid">
    <w:name w:val="Table Grid"/>
    <w:basedOn w:val="TableNormal"/>
    <w:uiPriority w:val="59"/>
    <w:rsid w:val="00CD1F1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Meskhi</dc:creator>
  <cp:keywords/>
  <dc:description/>
  <cp:lastModifiedBy>Mary Meskhi</cp:lastModifiedBy>
  <cp:revision>10</cp:revision>
  <dcterms:created xsi:type="dcterms:W3CDTF">2024-05-12T18:37:00Z</dcterms:created>
  <dcterms:modified xsi:type="dcterms:W3CDTF">2024-07-04T14:29:00Z</dcterms:modified>
</cp:coreProperties>
</file>